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E546C0" w:rsidRDefault="003D23FC" w:rsidP="003D23FC">
      <w:pPr>
        <w:jc w:val="center"/>
        <w:rPr>
          <w:b/>
          <w:sz w:val="20"/>
          <w:szCs w:val="20"/>
          <w:lang w:val="kk-KZ"/>
        </w:rPr>
      </w:pPr>
      <w:r w:rsidRPr="00094CB3">
        <w:rPr>
          <w:b/>
          <w:sz w:val="20"/>
          <w:szCs w:val="20"/>
        </w:rPr>
        <w:t>Хаттама №</w:t>
      </w:r>
      <w:r w:rsidR="002D3746">
        <w:rPr>
          <w:b/>
          <w:sz w:val="20"/>
          <w:szCs w:val="20"/>
        </w:rPr>
        <w:t>4</w:t>
      </w:r>
      <w:r w:rsidR="00E35E60">
        <w:rPr>
          <w:b/>
          <w:sz w:val="20"/>
          <w:szCs w:val="20"/>
          <w:lang w:val="kk-KZ"/>
        </w:rPr>
        <w:t>5</w:t>
      </w:r>
      <w:bookmarkStart w:id="0" w:name="_GoBack"/>
      <w:bookmarkEnd w:id="0"/>
    </w:p>
    <w:p w:rsidR="00D47785" w:rsidRPr="00D521E5" w:rsidRDefault="003D23FC" w:rsidP="003D23FC">
      <w:pPr>
        <w:jc w:val="center"/>
        <w:rPr>
          <w:b/>
          <w:sz w:val="20"/>
          <w:szCs w:val="20"/>
          <w:lang w:val="kk-KZ"/>
        </w:rPr>
      </w:pPr>
      <w:r w:rsidRPr="00D521E5">
        <w:rPr>
          <w:b/>
          <w:sz w:val="20"/>
          <w:szCs w:val="20"/>
          <w:lang w:val="kk-KZ"/>
        </w:rPr>
        <w:t xml:space="preserve"> </w:t>
      </w:r>
      <w:r w:rsidR="007A09EB" w:rsidRPr="00D521E5">
        <w:rPr>
          <w:b/>
          <w:sz w:val="20"/>
          <w:szCs w:val="20"/>
          <w:lang w:val="kk-KZ"/>
        </w:rPr>
        <w:t xml:space="preserve">Бір көзден баға ұсыныстарын сұрату тәсілімен (қосымша) </w:t>
      </w:r>
      <w:r w:rsidR="00773461" w:rsidRPr="00D521E5">
        <w:rPr>
          <w:b/>
          <w:sz w:val="20"/>
          <w:szCs w:val="20"/>
          <w:lang w:val="kk-KZ"/>
        </w:rPr>
        <w:t>ИМ</w:t>
      </w:r>
      <w:r w:rsidR="007A09EB" w:rsidRPr="00D521E5">
        <w:rPr>
          <w:b/>
          <w:sz w:val="20"/>
          <w:szCs w:val="20"/>
          <w:lang w:val="kk-KZ"/>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2D3746">
        <w:rPr>
          <w:b/>
          <w:sz w:val="20"/>
          <w:szCs w:val="20"/>
          <w:lang w:val="kk-KZ"/>
        </w:rPr>
        <w:t>0</w:t>
      </w:r>
      <w:r w:rsidR="00513548">
        <w:rPr>
          <w:b/>
          <w:sz w:val="20"/>
          <w:szCs w:val="20"/>
          <w:lang w:val="kk-KZ"/>
        </w:rPr>
        <w:t>2</w:t>
      </w:r>
      <w:r w:rsidR="004A7D62">
        <w:rPr>
          <w:b/>
          <w:sz w:val="20"/>
          <w:szCs w:val="20"/>
          <w:lang w:val="kk-KZ"/>
        </w:rPr>
        <w:t xml:space="preserve"> </w:t>
      </w:r>
      <w:r w:rsidR="00513548">
        <w:rPr>
          <w:b/>
          <w:sz w:val="20"/>
          <w:szCs w:val="20"/>
          <w:lang w:val="kk-KZ"/>
        </w:rPr>
        <w:t>желто</w:t>
      </w:r>
      <w:r w:rsidR="00A44662">
        <w:rPr>
          <w:b/>
          <w:sz w:val="20"/>
          <w:szCs w:val="20"/>
          <w:lang w:val="kk-KZ"/>
        </w:rPr>
        <w:t>қ</w:t>
      </w:r>
      <w:r w:rsidR="00513548">
        <w:rPr>
          <w:b/>
          <w:sz w:val="20"/>
          <w:szCs w:val="20"/>
          <w:lang w:val="kk-KZ"/>
        </w:rPr>
        <w:t>сан</w:t>
      </w:r>
      <w:r w:rsidRPr="009670E3">
        <w:rPr>
          <w:b/>
          <w:sz w:val="20"/>
          <w:szCs w:val="20"/>
          <w:lang w:val="kk-KZ"/>
        </w:rPr>
        <w:t xml:space="preserve"> 20</w:t>
      </w:r>
      <w:r w:rsidR="004865B0" w:rsidRPr="009670E3">
        <w:rPr>
          <w:b/>
          <w:sz w:val="20"/>
          <w:szCs w:val="20"/>
          <w:lang w:val="kk-KZ"/>
        </w:rPr>
        <w:t>2</w:t>
      </w:r>
      <w:r w:rsidR="004A7D62">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9670E3" w:rsidRPr="00CA608A" w:rsidRDefault="00CA608A"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A608A">
        <w:rPr>
          <w:sz w:val="20"/>
          <w:szCs w:val="20"/>
          <w:lang w:val="kk-KZ"/>
        </w:rPr>
        <w:t>"СҚО әкімдігінің ДСБ" КММ "Тайынша ММБ" ШЖҚ КМК, СҚО, Тайынша ауданы, Тайынша қ., Крыжановский к-сі, 72, қосымша бір көзден МИ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w:t>
      </w:r>
    </w:p>
    <w:tbl>
      <w:tblPr>
        <w:tblW w:w="14424" w:type="dxa"/>
        <w:tblInd w:w="113" w:type="dxa"/>
        <w:tblLook w:val="04A0" w:firstRow="1" w:lastRow="0" w:firstColumn="1" w:lastColumn="0" w:noHBand="0" w:noVBand="1"/>
      </w:tblPr>
      <w:tblGrid>
        <w:gridCol w:w="459"/>
        <w:gridCol w:w="5176"/>
        <w:gridCol w:w="1701"/>
        <w:gridCol w:w="884"/>
        <w:gridCol w:w="1225"/>
        <w:gridCol w:w="1366"/>
        <w:gridCol w:w="986"/>
        <w:gridCol w:w="1209"/>
        <w:gridCol w:w="1418"/>
      </w:tblGrid>
      <w:tr w:rsidR="00E546C0" w:rsidTr="00E546C0">
        <w:trPr>
          <w:trHeight w:val="629"/>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E546C0" w:rsidRPr="004A7D62" w:rsidRDefault="00E546C0" w:rsidP="004A7D62">
            <w:pPr>
              <w:contextualSpacing/>
              <w:jc w:val="center"/>
              <w:rPr>
                <w:color w:val="000000"/>
                <w:sz w:val="18"/>
                <w:szCs w:val="18"/>
              </w:rPr>
            </w:pPr>
            <w:r w:rsidRPr="004A7D62">
              <w:rPr>
                <w:color w:val="000000"/>
                <w:sz w:val="18"/>
                <w:szCs w:val="18"/>
              </w:rPr>
              <w:t>№ п/п</w:t>
            </w:r>
          </w:p>
        </w:tc>
        <w:tc>
          <w:tcPr>
            <w:tcW w:w="5176" w:type="dxa"/>
            <w:tcBorders>
              <w:top w:val="single" w:sz="4" w:space="0" w:color="auto"/>
              <w:left w:val="nil"/>
              <w:bottom w:val="single" w:sz="4" w:space="0" w:color="auto"/>
              <w:right w:val="single" w:sz="4" w:space="0" w:color="auto"/>
            </w:tcBorders>
            <w:shd w:val="clear" w:color="auto" w:fill="auto"/>
            <w:noWrap/>
          </w:tcPr>
          <w:p w:rsidR="00E546C0" w:rsidRPr="004A7D62" w:rsidRDefault="00E546C0" w:rsidP="004A7D62">
            <w:pPr>
              <w:jc w:val="center"/>
              <w:rPr>
                <w:b/>
                <w:color w:val="000000"/>
                <w:sz w:val="18"/>
                <w:szCs w:val="18"/>
                <w:lang w:val="kk-KZ"/>
              </w:rPr>
            </w:pPr>
            <w:r w:rsidRPr="004A7D62">
              <w:rPr>
                <w:b/>
                <w:sz w:val="18"/>
                <w:szCs w:val="18"/>
                <w:lang w:val="kk-KZ"/>
              </w:rPr>
              <w:t>Тауар атауы</w:t>
            </w:r>
          </w:p>
        </w:tc>
        <w:tc>
          <w:tcPr>
            <w:tcW w:w="1701" w:type="dxa"/>
            <w:tcBorders>
              <w:top w:val="single" w:sz="4" w:space="0" w:color="auto"/>
              <w:left w:val="nil"/>
              <w:bottom w:val="single" w:sz="4" w:space="0" w:color="auto"/>
              <w:right w:val="single" w:sz="4" w:space="0" w:color="auto"/>
            </w:tcBorders>
            <w:shd w:val="clear" w:color="auto" w:fill="auto"/>
            <w:noWrap/>
          </w:tcPr>
          <w:p w:rsidR="00E546C0" w:rsidRPr="004A7D62" w:rsidRDefault="00E546C0" w:rsidP="004A7D62">
            <w:pPr>
              <w:pStyle w:val="a7"/>
              <w:ind w:firstLine="0"/>
              <w:jc w:val="center"/>
              <w:rPr>
                <w:b/>
                <w:sz w:val="18"/>
                <w:szCs w:val="18"/>
                <w:lang w:val="kk-KZ"/>
              </w:rPr>
            </w:pPr>
            <w:r w:rsidRPr="004A7D62">
              <w:rPr>
                <w:b/>
                <w:sz w:val="18"/>
                <w:szCs w:val="18"/>
                <w:lang w:val="kk-KZ"/>
              </w:rPr>
              <w:t>өлшем</w:t>
            </w:r>
          </w:p>
        </w:tc>
        <w:tc>
          <w:tcPr>
            <w:tcW w:w="884" w:type="dxa"/>
            <w:tcBorders>
              <w:top w:val="single" w:sz="4" w:space="0" w:color="auto"/>
              <w:left w:val="nil"/>
              <w:bottom w:val="single" w:sz="4" w:space="0" w:color="auto"/>
              <w:right w:val="single" w:sz="4" w:space="0" w:color="auto"/>
            </w:tcBorders>
            <w:shd w:val="clear" w:color="auto" w:fill="auto"/>
            <w:noWrap/>
            <w:hideMark/>
          </w:tcPr>
          <w:p w:rsidR="00E546C0" w:rsidRPr="004A7D62" w:rsidRDefault="00E546C0"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p w:rsidR="00E546C0" w:rsidRPr="004A7D62" w:rsidRDefault="00E546C0" w:rsidP="004A7D62">
            <w:pPr>
              <w:jc w:val="center"/>
              <w:rPr>
                <w:b/>
                <w:bCs/>
                <w:color w:val="000000"/>
                <w:sz w:val="18"/>
                <w:szCs w:val="18"/>
              </w:rPr>
            </w:pPr>
          </w:p>
        </w:tc>
        <w:tc>
          <w:tcPr>
            <w:tcW w:w="1225" w:type="dxa"/>
            <w:tcBorders>
              <w:top w:val="single" w:sz="4" w:space="0" w:color="auto"/>
              <w:left w:val="nil"/>
              <w:bottom w:val="single" w:sz="4" w:space="0" w:color="auto"/>
              <w:right w:val="single" w:sz="4" w:space="0" w:color="auto"/>
            </w:tcBorders>
            <w:shd w:val="clear" w:color="auto" w:fill="auto"/>
            <w:noWrap/>
            <w:hideMark/>
          </w:tcPr>
          <w:p w:rsidR="00E546C0" w:rsidRPr="004A7D62" w:rsidRDefault="00E546C0" w:rsidP="004A7D62">
            <w:pPr>
              <w:jc w:val="center"/>
              <w:rPr>
                <w:b/>
                <w:bCs/>
                <w:color w:val="000000"/>
                <w:sz w:val="18"/>
                <w:szCs w:val="18"/>
              </w:rPr>
            </w:pPr>
            <w:r w:rsidRPr="004A7D62">
              <w:rPr>
                <w:b/>
                <w:sz w:val="18"/>
                <w:szCs w:val="18"/>
              </w:rPr>
              <w:t>Бағасы</w:t>
            </w:r>
          </w:p>
        </w:tc>
        <w:tc>
          <w:tcPr>
            <w:tcW w:w="1366" w:type="dxa"/>
            <w:tcBorders>
              <w:top w:val="single" w:sz="4" w:space="0" w:color="auto"/>
              <w:left w:val="nil"/>
              <w:bottom w:val="single" w:sz="4" w:space="0" w:color="auto"/>
              <w:right w:val="single" w:sz="4" w:space="0" w:color="auto"/>
            </w:tcBorders>
          </w:tcPr>
          <w:p w:rsidR="00E546C0" w:rsidRPr="004A7D62" w:rsidRDefault="00E546C0" w:rsidP="004A7D62">
            <w:pPr>
              <w:jc w:val="center"/>
              <w:rPr>
                <w:b/>
                <w:color w:val="000000"/>
                <w:sz w:val="18"/>
                <w:szCs w:val="18"/>
                <w:lang w:val="kk-KZ"/>
              </w:rPr>
            </w:pPr>
            <w:r w:rsidRPr="004A7D62">
              <w:rPr>
                <w:rStyle w:val="y2iqfc"/>
                <w:b/>
                <w:sz w:val="18"/>
                <w:szCs w:val="18"/>
                <w:lang w:val="kk-KZ"/>
              </w:rPr>
              <w:t>Сома, теңге</w:t>
            </w:r>
          </w:p>
        </w:tc>
        <w:tc>
          <w:tcPr>
            <w:tcW w:w="986" w:type="dxa"/>
            <w:tcBorders>
              <w:top w:val="single" w:sz="4" w:space="0" w:color="auto"/>
              <w:left w:val="nil"/>
              <w:bottom w:val="single" w:sz="4" w:space="0" w:color="auto"/>
              <w:right w:val="single" w:sz="4" w:space="0" w:color="auto"/>
            </w:tcBorders>
          </w:tcPr>
          <w:p w:rsidR="00E546C0" w:rsidRPr="004A7D62" w:rsidRDefault="00E546C0"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lang w:val="kk-KZ"/>
              </w:rPr>
            </w:pPr>
            <w:r w:rsidRPr="004A7D62">
              <w:rPr>
                <w:b/>
                <w:sz w:val="18"/>
                <w:szCs w:val="18"/>
                <w:lang w:val="kk-KZ"/>
              </w:rPr>
              <w:t>ҚК бойынша</w:t>
            </w:r>
          </w:p>
          <w:p w:rsidR="00E546C0" w:rsidRPr="004A7D62" w:rsidRDefault="00E546C0"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tc>
        <w:tc>
          <w:tcPr>
            <w:tcW w:w="1209" w:type="dxa"/>
            <w:tcBorders>
              <w:top w:val="single" w:sz="4" w:space="0" w:color="auto"/>
              <w:left w:val="nil"/>
              <w:bottom w:val="single" w:sz="4" w:space="0" w:color="auto"/>
              <w:right w:val="single" w:sz="4" w:space="0" w:color="auto"/>
            </w:tcBorders>
          </w:tcPr>
          <w:p w:rsidR="00E546C0" w:rsidRPr="004A7D62" w:rsidRDefault="00E546C0" w:rsidP="004A7D62">
            <w:pPr>
              <w:jc w:val="center"/>
              <w:rPr>
                <w:b/>
                <w:bCs/>
                <w:color w:val="000000"/>
                <w:sz w:val="18"/>
                <w:szCs w:val="18"/>
              </w:rPr>
            </w:pPr>
            <w:r w:rsidRPr="004A7D62">
              <w:rPr>
                <w:b/>
                <w:sz w:val="18"/>
                <w:szCs w:val="18"/>
              </w:rPr>
              <w:t>Бағасы</w:t>
            </w:r>
          </w:p>
        </w:tc>
        <w:tc>
          <w:tcPr>
            <w:tcW w:w="1418" w:type="dxa"/>
            <w:tcBorders>
              <w:top w:val="single" w:sz="4" w:space="0" w:color="auto"/>
              <w:left w:val="nil"/>
              <w:bottom w:val="single" w:sz="4" w:space="0" w:color="auto"/>
              <w:right w:val="single" w:sz="4" w:space="0" w:color="auto"/>
            </w:tcBorders>
          </w:tcPr>
          <w:p w:rsidR="00E546C0" w:rsidRPr="004A7D62" w:rsidRDefault="00E546C0" w:rsidP="004A7D62">
            <w:pPr>
              <w:jc w:val="center"/>
              <w:rPr>
                <w:b/>
                <w:color w:val="000000"/>
                <w:sz w:val="18"/>
                <w:szCs w:val="18"/>
                <w:lang w:val="kk-KZ"/>
              </w:rPr>
            </w:pPr>
            <w:r w:rsidRPr="004A7D62">
              <w:rPr>
                <w:rStyle w:val="y2iqfc"/>
                <w:b/>
                <w:sz w:val="18"/>
                <w:szCs w:val="18"/>
                <w:lang w:val="kk-KZ"/>
              </w:rPr>
              <w:t>Сома, теңге</w:t>
            </w:r>
          </w:p>
        </w:tc>
      </w:tr>
      <w:tr w:rsidR="00BD0DCD" w:rsidRPr="008238B4" w:rsidTr="00F46D0F">
        <w:trPr>
          <w:trHeight w:val="276"/>
        </w:trPr>
        <w:tc>
          <w:tcPr>
            <w:tcW w:w="459" w:type="dxa"/>
            <w:tcBorders>
              <w:top w:val="nil"/>
              <w:left w:val="single" w:sz="4" w:space="0" w:color="auto"/>
              <w:bottom w:val="single" w:sz="4" w:space="0" w:color="auto"/>
              <w:right w:val="single" w:sz="4" w:space="0" w:color="auto"/>
            </w:tcBorders>
            <w:shd w:val="clear" w:color="000000" w:fill="FFFFFF"/>
          </w:tcPr>
          <w:p w:rsidR="00BD0DCD" w:rsidRPr="00A75416" w:rsidRDefault="00BD0DCD" w:rsidP="00BD0DCD">
            <w:pPr>
              <w:contextualSpacing/>
              <w:rPr>
                <w:sz w:val="18"/>
                <w:szCs w:val="18"/>
              </w:rPr>
            </w:pPr>
            <w:r>
              <w:rPr>
                <w:sz w:val="18"/>
                <w:szCs w:val="18"/>
              </w:rPr>
              <w:t>13</w:t>
            </w:r>
          </w:p>
        </w:tc>
        <w:tc>
          <w:tcPr>
            <w:tcW w:w="5176" w:type="dxa"/>
            <w:tcBorders>
              <w:top w:val="nil"/>
              <w:left w:val="nil"/>
              <w:bottom w:val="single" w:sz="4" w:space="0" w:color="auto"/>
              <w:right w:val="single" w:sz="4" w:space="0" w:color="auto"/>
            </w:tcBorders>
            <w:shd w:val="clear" w:color="000000" w:fill="FFFFFF"/>
          </w:tcPr>
          <w:p w:rsidR="00BD0DCD" w:rsidRPr="00E546C0" w:rsidRDefault="00BD0DCD" w:rsidP="00BD0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E546C0">
              <w:rPr>
                <w:sz w:val="20"/>
                <w:szCs w:val="20"/>
                <w:lang w:val="kk-KZ"/>
              </w:rPr>
              <w:t>Бір рет қолдануға арналған үш компонентті стери</w:t>
            </w:r>
            <w:r>
              <w:rPr>
                <w:sz w:val="20"/>
                <w:szCs w:val="20"/>
                <w:lang w:val="kk-KZ"/>
              </w:rPr>
              <w:t>льді инъекциялық шприц, көлемі 5</w:t>
            </w:r>
            <w:r w:rsidRPr="00E546C0">
              <w:rPr>
                <w:sz w:val="20"/>
                <w:szCs w:val="20"/>
                <w:lang w:val="kk-KZ"/>
              </w:rPr>
              <w:t xml:space="preserve"> мл</w:t>
            </w:r>
          </w:p>
        </w:tc>
        <w:tc>
          <w:tcPr>
            <w:tcW w:w="1701" w:type="dxa"/>
            <w:tcBorders>
              <w:top w:val="nil"/>
              <w:left w:val="nil"/>
              <w:bottom w:val="single" w:sz="4" w:space="0" w:color="auto"/>
              <w:right w:val="single" w:sz="4" w:space="0" w:color="auto"/>
            </w:tcBorders>
            <w:shd w:val="clear" w:color="000000" w:fill="FFFFFF"/>
          </w:tcPr>
          <w:p w:rsidR="00BD0DCD" w:rsidRPr="00B639CB" w:rsidRDefault="00BD0DCD" w:rsidP="00BD0DCD">
            <w:pPr>
              <w:contextualSpacing/>
              <w:jc w:val="center"/>
              <w:rPr>
                <w:color w:val="000000"/>
                <w:sz w:val="16"/>
                <w:szCs w:val="16"/>
              </w:rPr>
            </w:pPr>
            <w:r>
              <w:rPr>
                <w:color w:val="000000"/>
                <w:sz w:val="16"/>
                <w:szCs w:val="16"/>
                <w:lang w:val="kk-KZ"/>
              </w:rPr>
              <w:t>Дана/</w:t>
            </w:r>
            <w:r>
              <w:rPr>
                <w:color w:val="000000"/>
                <w:sz w:val="16"/>
                <w:szCs w:val="16"/>
              </w:rPr>
              <w:t>шт</w:t>
            </w:r>
          </w:p>
        </w:tc>
        <w:tc>
          <w:tcPr>
            <w:tcW w:w="884" w:type="dxa"/>
            <w:tcBorders>
              <w:top w:val="nil"/>
              <w:left w:val="nil"/>
              <w:bottom w:val="single" w:sz="4" w:space="0" w:color="auto"/>
              <w:right w:val="single" w:sz="4" w:space="0" w:color="auto"/>
            </w:tcBorders>
            <w:shd w:val="clear" w:color="000000" w:fill="FFFFFF"/>
          </w:tcPr>
          <w:p w:rsidR="00BD0DCD" w:rsidRPr="003171A7" w:rsidRDefault="00BD0DCD" w:rsidP="00BD0DCD">
            <w:pPr>
              <w:contextualSpacing/>
              <w:jc w:val="center"/>
              <w:rPr>
                <w:color w:val="000000"/>
                <w:sz w:val="18"/>
                <w:szCs w:val="18"/>
                <w:lang w:val="kk-KZ"/>
              </w:rPr>
            </w:pPr>
            <w:r w:rsidRPr="00175ADA">
              <w:rPr>
                <w:color w:val="000000"/>
                <w:sz w:val="16"/>
                <w:szCs w:val="16"/>
              </w:rPr>
              <w:t>30000</w:t>
            </w:r>
          </w:p>
        </w:tc>
        <w:tc>
          <w:tcPr>
            <w:tcW w:w="1225" w:type="dxa"/>
            <w:tcBorders>
              <w:top w:val="nil"/>
              <w:left w:val="nil"/>
              <w:bottom w:val="single" w:sz="4" w:space="0" w:color="auto"/>
              <w:right w:val="single" w:sz="4" w:space="0" w:color="auto"/>
            </w:tcBorders>
            <w:shd w:val="clear" w:color="000000" w:fill="FFFFFF"/>
          </w:tcPr>
          <w:p w:rsidR="00BD0DCD" w:rsidRPr="003171A7" w:rsidRDefault="00BD0DCD" w:rsidP="00BD0DCD">
            <w:pPr>
              <w:contextualSpacing/>
              <w:jc w:val="center"/>
              <w:rPr>
                <w:color w:val="000000"/>
                <w:sz w:val="18"/>
                <w:szCs w:val="18"/>
                <w:lang w:val="kk-KZ"/>
              </w:rPr>
            </w:pPr>
            <w:r w:rsidRPr="00175ADA">
              <w:rPr>
                <w:sz w:val="18"/>
                <w:szCs w:val="18"/>
                <w:lang w:val="kk-KZ"/>
              </w:rPr>
              <w:t>12,25</w:t>
            </w:r>
          </w:p>
        </w:tc>
        <w:tc>
          <w:tcPr>
            <w:tcW w:w="1366" w:type="dxa"/>
            <w:tcBorders>
              <w:top w:val="nil"/>
              <w:left w:val="nil"/>
              <w:bottom w:val="single" w:sz="4" w:space="0" w:color="auto"/>
              <w:right w:val="single" w:sz="4" w:space="0" w:color="auto"/>
            </w:tcBorders>
            <w:shd w:val="clear" w:color="000000" w:fill="FFFFFF"/>
          </w:tcPr>
          <w:p w:rsidR="00BD0DCD" w:rsidRPr="003171A7" w:rsidRDefault="00BD0DCD" w:rsidP="00BD0DCD">
            <w:pPr>
              <w:contextualSpacing/>
              <w:jc w:val="center"/>
              <w:rPr>
                <w:color w:val="000000"/>
                <w:sz w:val="18"/>
                <w:szCs w:val="18"/>
                <w:lang w:val="kk-KZ"/>
              </w:rPr>
            </w:pPr>
            <w:r>
              <w:rPr>
                <w:color w:val="000000"/>
                <w:sz w:val="18"/>
                <w:szCs w:val="18"/>
                <w:lang w:val="kk-KZ"/>
              </w:rPr>
              <w:t>367500</w:t>
            </w:r>
            <w:r w:rsidRPr="003171A7">
              <w:rPr>
                <w:color w:val="000000"/>
                <w:sz w:val="18"/>
                <w:szCs w:val="18"/>
              </w:rPr>
              <w:t>,0</w:t>
            </w:r>
          </w:p>
        </w:tc>
        <w:tc>
          <w:tcPr>
            <w:tcW w:w="986" w:type="dxa"/>
            <w:tcBorders>
              <w:top w:val="nil"/>
              <w:left w:val="nil"/>
              <w:bottom w:val="single" w:sz="4" w:space="0" w:color="auto"/>
              <w:right w:val="single" w:sz="4" w:space="0" w:color="auto"/>
            </w:tcBorders>
            <w:shd w:val="clear" w:color="000000" w:fill="FFFFFF"/>
          </w:tcPr>
          <w:p w:rsidR="00BD0DCD" w:rsidRPr="00653035" w:rsidRDefault="00BD0DCD" w:rsidP="00BD0DCD">
            <w:pPr>
              <w:rPr>
                <w:rFonts w:eastAsia="Calibri"/>
                <w:bCs/>
                <w:sz w:val="20"/>
                <w:szCs w:val="20"/>
              </w:rPr>
            </w:pPr>
            <w:r>
              <w:rPr>
                <w:rFonts w:eastAsia="Calibri"/>
                <w:bCs/>
                <w:sz w:val="20"/>
                <w:szCs w:val="20"/>
              </w:rPr>
              <w:t>6000</w:t>
            </w:r>
          </w:p>
        </w:tc>
        <w:tc>
          <w:tcPr>
            <w:tcW w:w="1209" w:type="dxa"/>
            <w:tcBorders>
              <w:top w:val="nil"/>
              <w:left w:val="nil"/>
              <w:bottom w:val="single" w:sz="4" w:space="0" w:color="auto"/>
              <w:right w:val="single" w:sz="4" w:space="0" w:color="auto"/>
            </w:tcBorders>
            <w:shd w:val="clear" w:color="000000" w:fill="FFFFFF"/>
          </w:tcPr>
          <w:p w:rsidR="00BD0DCD" w:rsidRPr="003171A7" w:rsidRDefault="00BD0DCD" w:rsidP="00BD0DCD">
            <w:pPr>
              <w:contextualSpacing/>
              <w:jc w:val="center"/>
              <w:rPr>
                <w:color w:val="000000"/>
                <w:sz w:val="18"/>
                <w:szCs w:val="18"/>
                <w:lang w:val="kk-KZ"/>
              </w:rPr>
            </w:pPr>
            <w:r w:rsidRPr="00175ADA">
              <w:rPr>
                <w:sz w:val="18"/>
                <w:szCs w:val="18"/>
                <w:lang w:val="kk-KZ"/>
              </w:rPr>
              <w:t>12,25</w:t>
            </w:r>
          </w:p>
        </w:tc>
        <w:tc>
          <w:tcPr>
            <w:tcW w:w="1418" w:type="dxa"/>
            <w:tcBorders>
              <w:top w:val="nil"/>
              <w:left w:val="nil"/>
              <w:bottom w:val="single" w:sz="4" w:space="0" w:color="auto"/>
              <w:right w:val="single" w:sz="4" w:space="0" w:color="auto"/>
            </w:tcBorders>
            <w:shd w:val="clear" w:color="000000" w:fill="FFFFFF"/>
          </w:tcPr>
          <w:p w:rsidR="00BD0DCD" w:rsidRPr="00EB5FA4" w:rsidRDefault="00BD0DCD" w:rsidP="00BD0DCD">
            <w:pPr>
              <w:pStyle w:val="HTML"/>
              <w:rPr>
                <w:rFonts w:ascii="Times New Roman" w:eastAsiaTheme="minorHAnsi" w:hAnsi="Times New Roman" w:cs="Times New Roman"/>
                <w:lang w:val="kk-KZ"/>
              </w:rPr>
            </w:pPr>
            <w:r>
              <w:rPr>
                <w:rFonts w:ascii="Times New Roman" w:eastAsiaTheme="minorHAnsi" w:hAnsi="Times New Roman" w:cs="Times New Roman"/>
                <w:lang w:val="kk-KZ"/>
              </w:rPr>
              <w:t>73500</w:t>
            </w:r>
            <w:r w:rsidRPr="00EB5FA4">
              <w:rPr>
                <w:rFonts w:ascii="Times New Roman" w:eastAsiaTheme="minorHAnsi" w:hAnsi="Times New Roman" w:cs="Times New Roman"/>
                <w:lang w:val="kk-KZ"/>
              </w:rPr>
              <w:t>,00</w:t>
            </w:r>
          </w:p>
        </w:tc>
      </w:tr>
      <w:tr w:rsidR="00BD0DCD" w:rsidRPr="008238B4" w:rsidTr="00F46D0F">
        <w:trPr>
          <w:trHeight w:val="118"/>
        </w:trPr>
        <w:tc>
          <w:tcPr>
            <w:tcW w:w="459" w:type="dxa"/>
            <w:tcBorders>
              <w:top w:val="nil"/>
              <w:left w:val="single" w:sz="4" w:space="0" w:color="auto"/>
              <w:bottom w:val="single" w:sz="4" w:space="0" w:color="auto"/>
              <w:right w:val="single" w:sz="4" w:space="0" w:color="auto"/>
            </w:tcBorders>
            <w:shd w:val="clear" w:color="000000" w:fill="FFFFFF"/>
          </w:tcPr>
          <w:p w:rsidR="00BD0DCD" w:rsidRPr="00A75416" w:rsidRDefault="00BD0DCD" w:rsidP="00BD0DCD">
            <w:pPr>
              <w:contextualSpacing/>
              <w:rPr>
                <w:bCs/>
                <w:sz w:val="20"/>
                <w:szCs w:val="20"/>
                <w:lang w:val="kk-KZ"/>
              </w:rPr>
            </w:pPr>
          </w:p>
        </w:tc>
        <w:tc>
          <w:tcPr>
            <w:tcW w:w="5176" w:type="dxa"/>
            <w:tcBorders>
              <w:top w:val="nil"/>
              <w:left w:val="nil"/>
              <w:bottom w:val="single" w:sz="4" w:space="0" w:color="auto"/>
              <w:right w:val="single" w:sz="4" w:space="0" w:color="auto"/>
            </w:tcBorders>
            <w:shd w:val="clear" w:color="000000" w:fill="FFFFFF"/>
            <w:vAlign w:val="center"/>
          </w:tcPr>
          <w:p w:rsidR="00BD0DCD" w:rsidRPr="00D24AC6" w:rsidRDefault="00BD0DCD" w:rsidP="00BD0DCD">
            <w:pPr>
              <w:contextualSpacing/>
              <w:rPr>
                <w:color w:val="000000"/>
                <w:sz w:val="20"/>
                <w:szCs w:val="20"/>
                <w:lang w:val="kk-KZ"/>
              </w:rPr>
            </w:pPr>
            <w:r>
              <w:rPr>
                <w:color w:val="000000"/>
                <w:sz w:val="20"/>
                <w:szCs w:val="20"/>
                <w:lang w:val="kk-KZ"/>
              </w:rPr>
              <w:t>барлығы</w:t>
            </w:r>
          </w:p>
        </w:tc>
        <w:tc>
          <w:tcPr>
            <w:tcW w:w="1701" w:type="dxa"/>
            <w:tcBorders>
              <w:top w:val="nil"/>
              <w:left w:val="nil"/>
              <w:bottom w:val="single" w:sz="4" w:space="0" w:color="auto"/>
              <w:right w:val="single" w:sz="4" w:space="0" w:color="auto"/>
            </w:tcBorders>
            <w:shd w:val="clear" w:color="000000" w:fill="FFFFFF"/>
            <w:vAlign w:val="center"/>
          </w:tcPr>
          <w:p w:rsidR="00BD0DCD" w:rsidRPr="00A75416" w:rsidRDefault="00BD0DCD" w:rsidP="00BD0DCD">
            <w:pPr>
              <w:contextualSpacing/>
              <w:rPr>
                <w:color w:val="000000"/>
                <w:sz w:val="20"/>
                <w:szCs w:val="20"/>
              </w:rPr>
            </w:pPr>
          </w:p>
        </w:tc>
        <w:tc>
          <w:tcPr>
            <w:tcW w:w="884" w:type="dxa"/>
            <w:tcBorders>
              <w:top w:val="nil"/>
              <w:left w:val="nil"/>
              <w:bottom w:val="single" w:sz="4" w:space="0" w:color="auto"/>
              <w:right w:val="single" w:sz="4" w:space="0" w:color="auto"/>
            </w:tcBorders>
            <w:shd w:val="clear" w:color="000000" w:fill="FFFFFF"/>
            <w:vAlign w:val="center"/>
          </w:tcPr>
          <w:p w:rsidR="00BD0DCD" w:rsidRPr="00A75416" w:rsidRDefault="00BD0DCD" w:rsidP="00BD0DCD">
            <w:pPr>
              <w:contextualSpacing/>
              <w:rPr>
                <w:color w:val="000000"/>
                <w:sz w:val="20"/>
                <w:szCs w:val="20"/>
              </w:rPr>
            </w:pPr>
          </w:p>
        </w:tc>
        <w:tc>
          <w:tcPr>
            <w:tcW w:w="1225" w:type="dxa"/>
            <w:tcBorders>
              <w:top w:val="nil"/>
              <w:left w:val="nil"/>
              <w:bottom w:val="single" w:sz="4" w:space="0" w:color="auto"/>
              <w:right w:val="single" w:sz="4" w:space="0" w:color="auto"/>
            </w:tcBorders>
            <w:shd w:val="clear" w:color="000000" w:fill="FFFFFF"/>
            <w:vAlign w:val="bottom"/>
          </w:tcPr>
          <w:p w:rsidR="00BD0DCD" w:rsidRPr="00A75416" w:rsidRDefault="00BD0DCD" w:rsidP="00BD0DCD">
            <w:pPr>
              <w:contextualSpacing/>
              <w:rPr>
                <w:color w:val="000000"/>
                <w:sz w:val="20"/>
                <w:szCs w:val="20"/>
                <w:lang w:val="en-US"/>
              </w:rPr>
            </w:pPr>
          </w:p>
        </w:tc>
        <w:tc>
          <w:tcPr>
            <w:tcW w:w="1366" w:type="dxa"/>
            <w:tcBorders>
              <w:top w:val="nil"/>
              <w:left w:val="nil"/>
              <w:bottom w:val="single" w:sz="4" w:space="0" w:color="auto"/>
              <w:right w:val="single" w:sz="4" w:space="0" w:color="auto"/>
            </w:tcBorders>
            <w:shd w:val="clear" w:color="000000" w:fill="FFFFFF"/>
            <w:vAlign w:val="center"/>
          </w:tcPr>
          <w:p w:rsidR="00BD0DCD" w:rsidRPr="00A75416" w:rsidRDefault="00BD0DCD" w:rsidP="00BD0DCD">
            <w:pPr>
              <w:contextualSpacing/>
              <w:jc w:val="center"/>
              <w:rPr>
                <w:b/>
                <w:color w:val="000000"/>
                <w:sz w:val="20"/>
                <w:szCs w:val="20"/>
                <w:lang w:val="kk-KZ"/>
              </w:rPr>
            </w:pPr>
            <w:r>
              <w:rPr>
                <w:b/>
                <w:color w:val="000000"/>
                <w:sz w:val="20"/>
                <w:szCs w:val="20"/>
                <w:lang w:val="kk-KZ"/>
              </w:rPr>
              <w:t>367500,00</w:t>
            </w:r>
          </w:p>
          <w:p w:rsidR="00BD0DCD" w:rsidRPr="00A75416" w:rsidRDefault="00BD0DCD" w:rsidP="00BD0DCD">
            <w:pPr>
              <w:contextualSpacing/>
              <w:rPr>
                <w:color w:val="000000"/>
                <w:sz w:val="20"/>
                <w:szCs w:val="20"/>
              </w:rPr>
            </w:pPr>
          </w:p>
        </w:tc>
        <w:tc>
          <w:tcPr>
            <w:tcW w:w="986" w:type="dxa"/>
            <w:tcBorders>
              <w:top w:val="nil"/>
              <w:left w:val="nil"/>
              <w:bottom w:val="single" w:sz="4" w:space="0" w:color="auto"/>
              <w:right w:val="single" w:sz="4" w:space="0" w:color="auto"/>
            </w:tcBorders>
            <w:shd w:val="clear" w:color="000000" w:fill="FFFFFF"/>
          </w:tcPr>
          <w:p w:rsidR="00BD0DCD" w:rsidRPr="00A75416" w:rsidRDefault="00BD0DCD" w:rsidP="00BD0DCD">
            <w:pPr>
              <w:contextualSpacing/>
              <w:rPr>
                <w:rFonts w:eastAsia="Calibri"/>
                <w:bCs/>
                <w:sz w:val="20"/>
                <w:szCs w:val="20"/>
                <w:lang w:val="kk-KZ"/>
              </w:rPr>
            </w:pPr>
          </w:p>
        </w:tc>
        <w:tc>
          <w:tcPr>
            <w:tcW w:w="1209" w:type="dxa"/>
            <w:tcBorders>
              <w:top w:val="nil"/>
              <w:left w:val="nil"/>
              <w:bottom w:val="single" w:sz="4" w:space="0" w:color="auto"/>
              <w:right w:val="single" w:sz="4" w:space="0" w:color="auto"/>
            </w:tcBorders>
            <w:shd w:val="clear" w:color="000000" w:fill="FFFFFF"/>
          </w:tcPr>
          <w:p w:rsidR="00BD0DCD" w:rsidRPr="00A75416" w:rsidRDefault="00BD0DCD" w:rsidP="00BD0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eastAsia="Calibri"/>
                <w:sz w:val="20"/>
                <w:szCs w:val="20"/>
                <w:lang w:val="kk-KZ"/>
              </w:rPr>
            </w:pPr>
          </w:p>
        </w:tc>
        <w:tc>
          <w:tcPr>
            <w:tcW w:w="1418" w:type="dxa"/>
            <w:tcBorders>
              <w:top w:val="nil"/>
              <w:left w:val="nil"/>
              <w:bottom w:val="single" w:sz="4" w:space="0" w:color="auto"/>
              <w:right w:val="single" w:sz="4" w:space="0" w:color="auto"/>
            </w:tcBorders>
            <w:shd w:val="clear" w:color="000000" w:fill="FFFFFF"/>
          </w:tcPr>
          <w:p w:rsidR="00BD0DCD" w:rsidRPr="00A75416" w:rsidRDefault="00BD0DCD" w:rsidP="00BD0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eastAsia="Calibri"/>
                <w:b/>
                <w:sz w:val="20"/>
                <w:szCs w:val="20"/>
                <w:lang w:val="kk-KZ"/>
              </w:rPr>
            </w:pPr>
            <w:r>
              <w:rPr>
                <w:rFonts w:eastAsia="Calibri"/>
                <w:b/>
                <w:sz w:val="20"/>
                <w:szCs w:val="20"/>
                <w:lang w:val="kk-KZ"/>
              </w:rPr>
              <w:t>73500,00</w:t>
            </w:r>
          </w:p>
        </w:tc>
      </w:tr>
    </w:tbl>
    <w:p w:rsidR="004A7D62" w:rsidRDefault="004A7D62" w:rsidP="006E60B7">
      <w:pPr>
        <w:rPr>
          <w:sz w:val="20"/>
          <w:szCs w:val="20"/>
          <w:lang w:val="kk-KZ"/>
        </w:rPr>
      </w:pPr>
    </w:p>
    <w:p w:rsidR="002D3746" w:rsidRDefault="007567A0" w:rsidP="006B6AF3">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03FBE">
        <w:rPr>
          <w:rFonts w:ascii="Times New Roman" w:hAnsi="Times New Roman" w:cs="Times New Roman"/>
          <w:lang w:val="kk-KZ"/>
        </w:rPr>
        <w:t xml:space="preserve">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603FBE">
        <w:rPr>
          <w:rFonts w:ascii="Times New Roman" w:hAnsi="Times New Roman" w:cs="Times New Roman"/>
          <w:lang w:val="kk-KZ"/>
        </w:rPr>
        <w:t xml:space="preserve">                                                     </w:t>
      </w:r>
      <w:r w:rsidR="00F965FC" w:rsidRPr="002D3746">
        <w:rPr>
          <w:rFonts w:ascii="Times New Roman" w:hAnsi="Times New Roman" w:cs="Times New Roman"/>
          <w:b/>
          <w:lang w:val="kk-KZ"/>
        </w:rPr>
        <w:t>«</w:t>
      </w:r>
      <w:r w:rsidR="00E546C0">
        <w:rPr>
          <w:rFonts w:ascii="Times New Roman" w:hAnsi="Times New Roman" w:cs="Times New Roman"/>
          <w:b/>
          <w:lang w:val="kk-KZ"/>
        </w:rPr>
        <w:t>Арша</w:t>
      </w:r>
      <w:r w:rsidR="00F965FC" w:rsidRPr="002D3746">
        <w:rPr>
          <w:rFonts w:ascii="Times New Roman" w:hAnsi="Times New Roman" w:cs="Times New Roman"/>
          <w:b/>
          <w:lang w:val="kk-KZ"/>
        </w:rPr>
        <w:t>»</w:t>
      </w:r>
      <w:r w:rsidR="00F965FC" w:rsidRPr="00603FBE">
        <w:rPr>
          <w:rFonts w:ascii="Times New Roman" w:hAnsi="Times New Roman" w:cs="Times New Roman"/>
          <w:b/>
          <w:lang w:val="kk-KZ"/>
        </w:rPr>
        <w:t xml:space="preserve"> </w:t>
      </w:r>
      <w:r w:rsidRPr="00603FBE">
        <w:rPr>
          <w:rFonts w:ascii="Times New Roman" w:hAnsi="Times New Roman" w:cs="Times New Roman"/>
          <w:b/>
          <w:lang w:val="kk-KZ"/>
        </w:rPr>
        <w:t>ЖШС</w:t>
      </w:r>
      <w:r w:rsidRPr="00603FBE">
        <w:rPr>
          <w:rFonts w:ascii="Times New Roman" w:hAnsi="Times New Roman" w:cs="Times New Roman"/>
          <w:lang w:val="kk-KZ"/>
        </w:rPr>
        <w:t xml:space="preserve">, </w:t>
      </w:r>
      <w:r w:rsidR="002D3746">
        <w:rPr>
          <w:rFonts w:ascii="Times New Roman" w:hAnsi="Times New Roman" w:cs="Times New Roman"/>
          <w:lang w:val="kk-KZ"/>
        </w:rPr>
        <w:t>А</w:t>
      </w:r>
      <w:r w:rsidR="00E546C0">
        <w:rPr>
          <w:rFonts w:ascii="Times New Roman" w:hAnsi="Times New Roman" w:cs="Times New Roman"/>
          <w:lang w:val="kk-KZ"/>
        </w:rPr>
        <w:t>кмола облысы</w:t>
      </w:r>
      <w:r w:rsidR="002D3746" w:rsidRPr="00C67E2B">
        <w:rPr>
          <w:rFonts w:ascii="Times New Roman" w:hAnsi="Times New Roman" w:cs="Times New Roman"/>
          <w:lang w:val="kk-KZ"/>
        </w:rPr>
        <w:t xml:space="preserve"> </w:t>
      </w:r>
      <w:r w:rsidR="00E546C0">
        <w:rPr>
          <w:rFonts w:ascii="Times New Roman" w:hAnsi="Times New Roman" w:cs="Times New Roman"/>
          <w:lang w:val="kk-KZ"/>
        </w:rPr>
        <w:t xml:space="preserve"> Кокшетау </w:t>
      </w:r>
      <w:r w:rsidR="002D3746" w:rsidRPr="00C67E2B">
        <w:rPr>
          <w:rFonts w:ascii="Times New Roman" w:hAnsi="Times New Roman" w:cs="Times New Roman"/>
          <w:lang w:val="kk-KZ"/>
        </w:rPr>
        <w:t>қ.,</w:t>
      </w:r>
      <w:r w:rsidR="002D3746">
        <w:rPr>
          <w:rFonts w:ascii="Times New Roman" w:hAnsi="Times New Roman" w:cs="Times New Roman"/>
          <w:lang w:val="kk-KZ"/>
        </w:rPr>
        <w:t xml:space="preserve"> </w:t>
      </w:r>
      <w:r w:rsidR="00E546C0">
        <w:rPr>
          <w:rFonts w:ascii="Times New Roman" w:hAnsi="Times New Roman" w:cs="Times New Roman"/>
          <w:lang w:val="kk-KZ"/>
        </w:rPr>
        <w:t>Васильковский ыкш ауданы</w:t>
      </w:r>
      <w:r w:rsidR="002D3746">
        <w:rPr>
          <w:rFonts w:ascii="Times New Roman" w:hAnsi="Times New Roman" w:cs="Times New Roman"/>
          <w:lang w:val="kk-KZ"/>
        </w:rPr>
        <w:t xml:space="preserve">, </w:t>
      </w:r>
      <w:r w:rsidR="00E546C0">
        <w:rPr>
          <w:rFonts w:ascii="Times New Roman" w:hAnsi="Times New Roman" w:cs="Times New Roman"/>
          <w:lang w:val="kk-KZ"/>
        </w:rPr>
        <w:t>12</w:t>
      </w:r>
      <w:r w:rsidR="00F965FC" w:rsidRPr="00603FBE">
        <w:rPr>
          <w:rFonts w:ascii="Times New Roman" w:hAnsi="Times New Roman" w:cs="Times New Roman"/>
          <w:lang w:val="kk-KZ"/>
        </w:rPr>
        <w:br/>
      </w:r>
    </w:p>
    <w:p w:rsidR="009670E3" w:rsidRPr="00603FBE" w:rsidRDefault="007567A0" w:rsidP="006B6AF3">
      <w:pPr>
        <w:pStyle w:val="HTML"/>
        <w:rPr>
          <w:rFonts w:ascii="Times New Roman" w:hAnsi="Times New Roman" w:cs="Times New Roman"/>
          <w:lang w:val="kk-KZ"/>
        </w:rPr>
      </w:pPr>
      <w:r w:rsidRPr="00603FBE">
        <w:rPr>
          <w:rFonts w:ascii="Times New Roman" w:hAnsi="Times New Roman" w:cs="Times New Roman"/>
          <w:lang w:val="kk-KZ"/>
        </w:rPr>
        <w:t xml:space="preserve">3. Комиссия ШЕШТІ: </w:t>
      </w:r>
      <w:r w:rsidR="009670E3" w:rsidRPr="00603FBE">
        <w:rPr>
          <w:rFonts w:ascii="Times New Roman" w:hAnsi="Times New Roman" w:cs="Times New Roman"/>
          <w:lang w:val="kk-KZ"/>
        </w:rPr>
        <w:t xml:space="preserve">11-тараудың 4-тармақшасының негізінде әлеуетті өнім берушімен сатып алу бойынша </w:t>
      </w:r>
      <w:r w:rsidR="00BD0DCD">
        <w:rPr>
          <w:rFonts w:ascii="Times New Roman" w:hAnsi="Times New Roman" w:cs="Times New Roman"/>
          <w:lang w:val="kk-KZ"/>
        </w:rPr>
        <w:t>01</w:t>
      </w:r>
      <w:r w:rsidR="00F5409E" w:rsidRPr="00603FBE">
        <w:rPr>
          <w:rFonts w:ascii="Times New Roman" w:hAnsi="Times New Roman" w:cs="Times New Roman"/>
          <w:lang w:val="kk-KZ"/>
        </w:rPr>
        <w:t>.</w:t>
      </w:r>
      <w:r w:rsidR="00A44662">
        <w:rPr>
          <w:rFonts w:ascii="Times New Roman" w:hAnsi="Times New Roman" w:cs="Times New Roman"/>
          <w:lang w:val="kk-KZ"/>
        </w:rPr>
        <w:t>0</w:t>
      </w:r>
      <w:r w:rsidR="00BD0DCD">
        <w:rPr>
          <w:rFonts w:ascii="Times New Roman" w:hAnsi="Times New Roman" w:cs="Times New Roman"/>
          <w:lang w:val="kk-KZ"/>
        </w:rPr>
        <w:t>8</w:t>
      </w:r>
      <w:r w:rsidR="00F5409E" w:rsidRPr="00603FBE">
        <w:rPr>
          <w:rFonts w:ascii="Times New Roman" w:hAnsi="Times New Roman" w:cs="Times New Roman"/>
          <w:lang w:val="kk-KZ"/>
        </w:rPr>
        <w:t>.202</w:t>
      </w:r>
      <w:r w:rsidR="004A7D62">
        <w:rPr>
          <w:rFonts w:ascii="Times New Roman" w:hAnsi="Times New Roman" w:cs="Times New Roman"/>
          <w:lang w:val="kk-KZ"/>
        </w:rPr>
        <w:t>4</w:t>
      </w:r>
      <w:r w:rsidR="00F5409E" w:rsidRPr="00603FBE">
        <w:rPr>
          <w:rFonts w:ascii="Times New Roman" w:hAnsi="Times New Roman" w:cs="Times New Roman"/>
          <w:lang w:val="kk-KZ"/>
        </w:rPr>
        <w:t xml:space="preserve"> ж. №</w:t>
      </w:r>
      <w:r w:rsidR="00E546C0">
        <w:rPr>
          <w:rFonts w:ascii="Times New Roman" w:hAnsi="Times New Roman" w:cs="Times New Roman"/>
          <w:lang w:val="kk-KZ"/>
        </w:rPr>
        <w:t>4</w:t>
      </w:r>
      <w:r w:rsidR="00BD0DCD">
        <w:rPr>
          <w:rFonts w:ascii="Times New Roman" w:hAnsi="Times New Roman" w:cs="Times New Roman"/>
          <w:lang w:val="kk-KZ"/>
        </w:rPr>
        <w:t>3</w:t>
      </w:r>
      <w:r w:rsidR="00F5409E" w:rsidRPr="00603FBE">
        <w:rPr>
          <w:rFonts w:ascii="Times New Roman" w:hAnsi="Times New Roman" w:cs="Times New Roman"/>
          <w:lang w:val="kk-KZ"/>
        </w:rPr>
        <w:t xml:space="preserve"> шартқа </w:t>
      </w:r>
      <w:r w:rsidR="009670E3" w:rsidRPr="00603FBE">
        <w:rPr>
          <w:rFonts w:ascii="Times New Roman" w:hAnsi="Times New Roman" w:cs="Times New Roman"/>
          <w:lang w:val="kk-KZ"/>
        </w:rPr>
        <w:t>қосымша келісім жасасу :</w:t>
      </w:r>
    </w:p>
    <w:p w:rsidR="007567A0" w:rsidRPr="00603FBE" w:rsidRDefault="007567A0" w:rsidP="006E60B7">
      <w:pPr>
        <w:rPr>
          <w:sz w:val="20"/>
          <w:szCs w:val="20"/>
          <w:lang w:val="kk-KZ"/>
        </w:rPr>
      </w:pPr>
    </w:p>
    <w:p w:rsidR="001E3ED2" w:rsidRPr="00603FBE" w:rsidRDefault="007567A0" w:rsidP="006E60B7">
      <w:pPr>
        <w:rPr>
          <w:sz w:val="20"/>
          <w:szCs w:val="20"/>
          <w:lang w:val="kk-KZ"/>
        </w:rPr>
      </w:pPr>
      <w:r w:rsidRPr="00603FBE">
        <w:rPr>
          <w:sz w:val="20"/>
          <w:szCs w:val="20"/>
          <w:lang w:val="kk-KZ"/>
        </w:rPr>
        <w:t xml:space="preserve"> </w:t>
      </w:r>
      <w:r w:rsidR="009670E3" w:rsidRPr="002D3746">
        <w:rPr>
          <w:sz w:val="20"/>
          <w:szCs w:val="20"/>
          <w:lang w:val="kk-KZ"/>
        </w:rPr>
        <w:t>-</w:t>
      </w:r>
      <w:r w:rsidR="00F965FC" w:rsidRPr="002D3746">
        <w:rPr>
          <w:b/>
          <w:sz w:val="20"/>
          <w:szCs w:val="20"/>
          <w:lang w:val="kk-KZ"/>
        </w:rPr>
        <w:t>«</w:t>
      </w:r>
      <w:r w:rsidR="00E546C0">
        <w:rPr>
          <w:b/>
          <w:sz w:val="20"/>
          <w:szCs w:val="20"/>
          <w:lang w:val="kk-KZ"/>
        </w:rPr>
        <w:t>Арша</w:t>
      </w:r>
      <w:r w:rsidR="002D3746" w:rsidRPr="002D3746">
        <w:rPr>
          <w:b/>
          <w:sz w:val="20"/>
          <w:szCs w:val="20"/>
          <w:lang w:val="kk-KZ"/>
        </w:rPr>
        <w:t>» ЖШС</w:t>
      </w:r>
      <w:r w:rsidR="002D3746" w:rsidRPr="00603FBE">
        <w:rPr>
          <w:sz w:val="20"/>
          <w:szCs w:val="20"/>
          <w:lang w:val="kk-KZ"/>
        </w:rPr>
        <w:t xml:space="preserve"> </w:t>
      </w:r>
      <w:r w:rsidR="009670E3" w:rsidRPr="00603FBE">
        <w:rPr>
          <w:sz w:val="20"/>
          <w:szCs w:val="20"/>
          <w:lang w:val="kk-KZ"/>
        </w:rPr>
        <w:t>лот</w:t>
      </w:r>
      <w:r w:rsidR="005C2F02" w:rsidRPr="00603FBE">
        <w:rPr>
          <w:sz w:val="20"/>
          <w:szCs w:val="20"/>
          <w:lang w:val="kk-KZ"/>
        </w:rPr>
        <w:t>тар</w:t>
      </w:r>
      <w:r w:rsidR="00050EA2" w:rsidRPr="00603FBE">
        <w:rPr>
          <w:sz w:val="20"/>
          <w:szCs w:val="20"/>
          <w:lang w:val="kk-KZ"/>
        </w:rPr>
        <w:t xml:space="preserve"> сомасы </w:t>
      </w:r>
      <w:r w:rsidR="00E546C0">
        <w:rPr>
          <w:sz w:val="20"/>
          <w:szCs w:val="20"/>
          <w:lang w:val="kk-KZ"/>
        </w:rPr>
        <w:t>7</w:t>
      </w:r>
      <w:r w:rsidR="00BD0DCD">
        <w:rPr>
          <w:sz w:val="20"/>
          <w:szCs w:val="20"/>
          <w:lang w:val="kk-KZ"/>
        </w:rPr>
        <w:t>3</w:t>
      </w:r>
      <w:r w:rsidR="00E546C0">
        <w:rPr>
          <w:sz w:val="20"/>
          <w:szCs w:val="20"/>
          <w:lang w:val="kk-KZ"/>
        </w:rPr>
        <w:t>5</w:t>
      </w:r>
      <w:r w:rsidR="00BD0DCD">
        <w:rPr>
          <w:sz w:val="20"/>
          <w:szCs w:val="20"/>
          <w:lang w:val="kk-KZ"/>
        </w:rPr>
        <w:t>00</w:t>
      </w:r>
      <w:r w:rsidR="005C2F02" w:rsidRPr="00603FBE">
        <w:rPr>
          <w:sz w:val="20"/>
          <w:szCs w:val="20"/>
          <w:lang w:val="kk-KZ"/>
        </w:rPr>
        <w:t>,</w:t>
      </w:r>
      <w:r w:rsidR="00F965FC" w:rsidRPr="00603FBE">
        <w:rPr>
          <w:sz w:val="20"/>
          <w:szCs w:val="20"/>
          <w:lang w:val="kk-KZ"/>
        </w:rPr>
        <w:t>00</w:t>
      </w:r>
      <w:r w:rsidR="004F0D9E" w:rsidRPr="00603FBE">
        <w:rPr>
          <w:sz w:val="20"/>
          <w:szCs w:val="20"/>
          <w:lang w:val="kk-KZ"/>
        </w:rPr>
        <w:t xml:space="preserve"> </w:t>
      </w:r>
      <w:r w:rsidRPr="00603FBE">
        <w:rPr>
          <w:sz w:val="20"/>
          <w:szCs w:val="20"/>
          <w:lang w:val="kk-KZ"/>
        </w:rPr>
        <w:t xml:space="preserve"> (</w:t>
      </w:r>
      <w:r w:rsidR="00BD0DCD">
        <w:rPr>
          <w:sz w:val="20"/>
          <w:szCs w:val="20"/>
          <w:lang w:val="kk-KZ"/>
        </w:rPr>
        <w:t>жетпис үш</w:t>
      </w:r>
      <w:r w:rsidR="00E546C0">
        <w:rPr>
          <w:sz w:val="20"/>
          <w:szCs w:val="20"/>
          <w:lang w:val="kk-KZ"/>
        </w:rPr>
        <w:t xml:space="preserve"> </w:t>
      </w:r>
      <w:r w:rsidR="00A44662">
        <w:rPr>
          <w:sz w:val="20"/>
          <w:szCs w:val="20"/>
          <w:lang w:val="kk-KZ"/>
        </w:rPr>
        <w:t>мың</w:t>
      </w:r>
      <w:r w:rsidR="00E546C0">
        <w:rPr>
          <w:sz w:val="20"/>
          <w:szCs w:val="20"/>
          <w:lang w:val="kk-KZ"/>
        </w:rPr>
        <w:t xml:space="preserve"> бес жүз</w:t>
      </w:r>
      <w:r w:rsidRPr="00603FBE">
        <w:rPr>
          <w:sz w:val="20"/>
          <w:szCs w:val="20"/>
          <w:lang w:val="kk-KZ"/>
        </w:rPr>
        <w:t>) теңге 00 тиын.</w:t>
      </w:r>
    </w:p>
    <w:p w:rsidR="00A81D13" w:rsidRPr="00094CB3" w:rsidRDefault="00603FBE" w:rsidP="006E60B7">
      <w:pPr>
        <w:rPr>
          <w:sz w:val="20"/>
          <w:szCs w:val="20"/>
          <w:lang w:val="kk-KZ"/>
        </w:rPr>
      </w:pPr>
      <w:r>
        <w:rPr>
          <w:sz w:val="20"/>
          <w:szCs w:val="20"/>
          <w:lang w:val="kk-KZ"/>
        </w:rPr>
        <w:tab/>
        <w:t xml:space="preserve">                                                                                                                                                                                                                                    </w:t>
      </w: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t>Комиссия төрағасы</w:t>
      </w:r>
    </w:p>
    <w:p w:rsidR="009670E3" w:rsidRPr="008E15E4" w:rsidRDefault="009670E3" w:rsidP="009670E3">
      <w:pPr>
        <w:rPr>
          <w:sz w:val="20"/>
          <w:szCs w:val="20"/>
        </w:rPr>
      </w:pPr>
      <w:r w:rsidRPr="008E15E4">
        <w:rPr>
          <w:sz w:val="20"/>
          <w:szCs w:val="20"/>
        </w:rPr>
        <w:t xml:space="preserve">М.М.  Кудратуллаев </w:t>
      </w:r>
      <w:r w:rsidRPr="008E15E4">
        <w:rPr>
          <w:sz w:val="20"/>
          <w:szCs w:val="20"/>
          <w:lang w:val="kk-KZ"/>
        </w:rPr>
        <w:t xml:space="preserve"> </w:t>
      </w:r>
      <w:r w:rsidRPr="008E15E4">
        <w:rPr>
          <w:sz w:val="20"/>
          <w:szCs w:val="20"/>
        </w:rPr>
        <w:t xml:space="preserve">_______________    </w:t>
      </w:r>
    </w:p>
    <w:p w:rsidR="009670E3" w:rsidRPr="008E15E4" w:rsidRDefault="009670E3" w:rsidP="009670E3">
      <w:pPr>
        <w:rPr>
          <w:sz w:val="20"/>
          <w:szCs w:val="20"/>
        </w:rPr>
      </w:pPr>
      <w:r w:rsidRPr="008E15E4">
        <w:rPr>
          <w:sz w:val="20"/>
          <w:szCs w:val="20"/>
        </w:rPr>
        <w:t xml:space="preserve">Директор </w:t>
      </w:r>
      <w:r w:rsidRPr="008E15E4">
        <w:rPr>
          <w:color w:val="212121"/>
          <w:sz w:val="20"/>
          <w:szCs w:val="20"/>
          <w:lang w:val="kk-KZ"/>
        </w:rPr>
        <w:t>«</w:t>
      </w:r>
      <w:r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lastRenderedPageBreak/>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9670E3"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4A7D62" w:rsidRPr="008E15E4">
        <w:rPr>
          <w:rStyle w:val="y2iqfc"/>
          <w:rFonts w:ascii="Times New Roman" w:hAnsi="Times New Roman" w:cs="Times New Roman"/>
          <w:lang w:val="kk-KZ"/>
        </w:rPr>
        <w:t xml:space="preserve">директор </w:t>
      </w:r>
      <w:r w:rsidR="00D34EA1" w:rsidRPr="008E15E4">
        <w:rPr>
          <w:rStyle w:val="y2iqfc"/>
          <w:rFonts w:ascii="Times New Roman" w:hAnsi="Times New Roman" w:cs="Times New Roman"/>
          <w:lang w:val="kk-KZ"/>
        </w:rPr>
        <w:t>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A6D" w:rsidRDefault="00223A6D" w:rsidP="00B11FF5">
      <w:r>
        <w:separator/>
      </w:r>
    </w:p>
  </w:endnote>
  <w:endnote w:type="continuationSeparator" w:id="0">
    <w:p w:rsidR="00223A6D" w:rsidRDefault="00223A6D"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223A6D"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E35E60">
      <w:rPr>
        <w:rStyle w:val="ab"/>
        <w:noProof/>
      </w:rPr>
      <w:t>1</w:t>
    </w:r>
    <w:r>
      <w:rPr>
        <w:rStyle w:val="ab"/>
      </w:rPr>
      <w:fldChar w:fldCharType="end"/>
    </w:r>
  </w:p>
  <w:p w:rsidR="00A85757" w:rsidRDefault="00223A6D"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A6D" w:rsidRDefault="00223A6D" w:rsidP="00B11FF5">
      <w:r>
        <w:separator/>
      </w:r>
    </w:p>
  </w:footnote>
  <w:footnote w:type="continuationSeparator" w:id="0">
    <w:p w:rsidR="00223A6D" w:rsidRDefault="00223A6D"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223A6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060C5"/>
    <w:rsid w:val="00011C7A"/>
    <w:rsid w:val="000231DB"/>
    <w:rsid w:val="00026BAC"/>
    <w:rsid w:val="00031CAF"/>
    <w:rsid w:val="000409B5"/>
    <w:rsid w:val="00041DBA"/>
    <w:rsid w:val="00043348"/>
    <w:rsid w:val="00045173"/>
    <w:rsid w:val="00046D71"/>
    <w:rsid w:val="00050EA2"/>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10036"/>
    <w:rsid w:val="00215B1D"/>
    <w:rsid w:val="00216251"/>
    <w:rsid w:val="00223A6D"/>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D3746"/>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9512E"/>
    <w:rsid w:val="003A2AE1"/>
    <w:rsid w:val="003A3664"/>
    <w:rsid w:val="003A4AA8"/>
    <w:rsid w:val="003B1529"/>
    <w:rsid w:val="003B3B66"/>
    <w:rsid w:val="003B4768"/>
    <w:rsid w:val="003B584F"/>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1DD6"/>
    <w:rsid w:val="004627D9"/>
    <w:rsid w:val="00473A7E"/>
    <w:rsid w:val="00482233"/>
    <w:rsid w:val="004865B0"/>
    <w:rsid w:val="00492A56"/>
    <w:rsid w:val="004A0BBD"/>
    <w:rsid w:val="004A3734"/>
    <w:rsid w:val="004A7D62"/>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E2483"/>
    <w:rsid w:val="004E697F"/>
    <w:rsid w:val="004F0D9E"/>
    <w:rsid w:val="004F215A"/>
    <w:rsid w:val="004F5D22"/>
    <w:rsid w:val="00505A0D"/>
    <w:rsid w:val="00507471"/>
    <w:rsid w:val="00511A11"/>
    <w:rsid w:val="00513548"/>
    <w:rsid w:val="005158CE"/>
    <w:rsid w:val="00515EA7"/>
    <w:rsid w:val="00517B50"/>
    <w:rsid w:val="00526AD2"/>
    <w:rsid w:val="00530497"/>
    <w:rsid w:val="0053448E"/>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3F8E"/>
    <w:rsid w:val="005E0D4E"/>
    <w:rsid w:val="005F0933"/>
    <w:rsid w:val="005F1497"/>
    <w:rsid w:val="005F39F1"/>
    <w:rsid w:val="005F5B57"/>
    <w:rsid w:val="005F6455"/>
    <w:rsid w:val="00600935"/>
    <w:rsid w:val="00603FBE"/>
    <w:rsid w:val="00604BA2"/>
    <w:rsid w:val="00607DB6"/>
    <w:rsid w:val="00617E93"/>
    <w:rsid w:val="00630A5F"/>
    <w:rsid w:val="0063357D"/>
    <w:rsid w:val="006376BA"/>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B6AF3"/>
    <w:rsid w:val="006C0A28"/>
    <w:rsid w:val="006C0C48"/>
    <w:rsid w:val="006C2571"/>
    <w:rsid w:val="006D67DA"/>
    <w:rsid w:val="006E26A5"/>
    <w:rsid w:val="006E53D2"/>
    <w:rsid w:val="006E5476"/>
    <w:rsid w:val="006E60B7"/>
    <w:rsid w:val="006F07EE"/>
    <w:rsid w:val="006F5F7D"/>
    <w:rsid w:val="00700076"/>
    <w:rsid w:val="00720133"/>
    <w:rsid w:val="007304E7"/>
    <w:rsid w:val="00731114"/>
    <w:rsid w:val="0073169F"/>
    <w:rsid w:val="00733711"/>
    <w:rsid w:val="00734713"/>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6968"/>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225A"/>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D0258"/>
    <w:rsid w:val="009D6282"/>
    <w:rsid w:val="009D6471"/>
    <w:rsid w:val="009E070F"/>
    <w:rsid w:val="009E2AE9"/>
    <w:rsid w:val="009F4151"/>
    <w:rsid w:val="009F424E"/>
    <w:rsid w:val="009F5D84"/>
    <w:rsid w:val="00A02077"/>
    <w:rsid w:val="00A02D48"/>
    <w:rsid w:val="00A125B1"/>
    <w:rsid w:val="00A14998"/>
    <w:rsid w:val="00A15F62"/>
    <w:rsid w:val="00A20486"/>
    <w:rsid w:val="00A211EF"/>
    <w:rsid w:val="00A24E1A"/>
    <w:rsid w:val="00A252B0"/>
    <w:rsid w:val="00A35123"/>
    <w:rsid w:val="00A41A55"/>
    <w:rsid w:val="00A44662"/>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0DCD"/>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2B42"/>
    <w:rsid w:val="00CC6FB0"/>
    <w:rsid w:val="00CD2AA7"/>
    <w:rsid w:val="00CF7518"/>
    <w:rsid w:val="00D01FFC"/>
    <w:rsid w:val="00D04535"/>
    <w:rsid w:val="00D116FA"/>
    <w:rsid w:val="00D12038"/>
    <w:rsid w:val="00D1226E"/>
    <w:rsid w:val="00D22C14"/>
    <w:rsid w:val="00D24AC6"/>
    <w:rsid w:val="00D34EA1"/>
    <w:rsid w:val="00D37266"/>
    <w:rsid w:val="00D47785"/>
    <w:rsid w:val="00D51674"/>
    <w:rsid w:val="00D51AB5"/>
    <w:rsid w:val="00D521E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7BC3"/>
    <w:rsid w:val="00E30B9B"/>
    <w:rsid w:val="00E35E60"/>
    <w:rsid w:val="00E4379A"/>
    <w:rsid w:val="00E51544"/>
    <w:rsid w:val="00E546C0"/>
    <w:rsid w:val="00E62134"/>
    <w:rsid w:val="00E672F6"/>
    <w:rsid w:val="00E76F55"/>
    <w:rsid w:val="00E779BD"/>
    <w:rsid w:val="00E809D8"/>
    <w:rsid w:val="00E903AA"/>
    <w:rsid w:val="00E914AE"/>
    <w:rsid w:val="00E96B09"/>
    <w:rsid w:val="00E9773E"/>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57B28"/>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4A0F"/>
    <w:rsid w:val="00FE562B"/>
    <w:rsid w:val="00FE69AC"/>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8BD4D"/>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6B6AF3"/>
    <w:rPr>
      <w:rFonts w:ascii="Segoe UI" w:hAnsi="Segoe UI" w:cs="Segoe UI"/>
      <w:sz w:val="18"/>
      <w:szCs w:val="18"/>
    </w:rPr>
  </w:style>
  <w:style w:type="character" w:customStyle="1" w:styleId="af2">
    <w:name w:val="Текст выноски Знак"/>
    <w:basedOn w:val="a0"/>
    <w:link w:val="af1"/>
    <w:uiPriority w:val="99"/>
    <w:semiHidden/>
    <w:rsid w:val="006B6AF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98391">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591862057">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09192909">
      <w:bodyDiv w:val="1"/>
      <w:marLeft w:val="0"/>
      <w:marRight w:val="0"/>
      <w:marTop w:val="0"/>
      <w:marBottom w:val="0"/>
      <w:divBdr>
        <w:top w:val="none" w:sz="0" w:space="0" w:color="auto"/>
        <w:left w:val="none" w:sz="0" w:space="0" w:color="auto"/>
        <w:bottom w:val="none" w:sz="0" w:space="0" w:color="auto"/>
        <w:right w:val="none" w:sz="0" w:space="0" w:color="auto"/>
      </w:divBdr>
      <w:divsChild>
        <w:div w:id="1128744773">
          <w:marLeft w:val="0"/>
          <w:marRight w:val="0"/>
          <w:marTop w:val="0"/>
          <w:marBottom w:val="0"/>
          <w:divBdr>
            <w:top w:val="none" w:sz="0" w:space="0" w:color="auto"/>
            <w:left w:val="none" w:sz="0" w:space="0" w:color="auto"/>
            <w:bottom w:val="none" w:sz="0" w:space="0" w:color="auto"/>
            <w:right w:val="none" w:sz="0" w:space="0" w:color="auto"/>
          </w:divBdr>
          <w:divsChild>
            <w:div w:id="1025594722">
              <w:marLeft w:val="0"/>
              <w:marRight w:val="0"/>
              <w:marTop w:val="0"/>
              <w:marBottom w:val="0"/>
              <w:divBdr>
                <w:top w:val="none" w:sz="0" w:space="0" w:color="auto"/>
                <w:left w:val="none" w:sz="0" w:space="0" w:color="auto"/>
                <w:bottom w:val="none" w:sz="0" w:space="0" w:color="auto"/>
                <w:right w:val="none" w:sz="0" w:space="0" w:color="auto"/>
              </w:divBdr>
              <w:divsChild>
                <w:div w:id="2120834970">
                  <w:marLeft w:val="0"/>
                  <w:marRight w:val="0"/>
                  <w:marTop w:val="0"/>
                  <w:marBottom w:val="0"/>
                  <w:divBdr>
                    <w:top w:val="none" w:sz="0" w:space="0" w:color="auto"/>
                    <w:left w:val="none" w:sz="0" w:space="0" w:color="auto"/>
                    <w:bottom w:val="none" w:sz="0" w:space="0" w:color="auto"/>
                    <w:right w:val="none" w:sz="0" w:space="0" w:color="auto"/>
                  </w:divBdr>
                  <w:divsChild>
                    <w:div w:id="182925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595625964">
      <w:bodyDiv w:val="1"/>
      <w:marLeft w:val="0"/>
      <w:marRight w:val="0"/>
      <w:marTop w:val="0"/>
      <w:marBottom w:val="0"/>
      <w:divBdr>
        <w:top w:val="none" w:sz="0" w:space="0" w:color="auto"/>
        <w:left w:val="none" w:sz="0" w:space="0" w:color="auto"/>
        <w:bottom w:val="none" w:sz="0" w:space="0" w:color="auto"/>
        <w:right w:val="none" w:sz="0" w:space="0" w:color="auto"/>
      </w:divBdr>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069197">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1131</TotalTime>
  <Pages>1</Pages>
  <Words>561</Words>
  <Characters>3199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490</cp:revision>
  <cp:lastPrinted>2024-12-02T10:12:00Z</cp:lastPrinted>
  <dcterms:created xsi:type="dcterms:W3CDTF">2016-03-11T02:55:00Z</dcterms:created>
  <dcterms:modified xsi:type="dcterms:W3CDTF">2024-12-02T11:52:00Z</dcterms:modified>
</cp:coreProperties>
</file>