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EC43BC">
        <w:rPr>
          <w:rStyle w:val="y2iqfc"/>
          <w:rFonts w:ascii="Times New Roman" w:hAnsi="Times New Roman" w:cs="Times New Roman"/>
          <w:b/>
          <w:sz w:val="24"/>
          <w:szCs w:val="24"/>
          <w:u w:val="single"/>
          <w:lang w:val="kk-KZ"/>
        </w:rPr>
        <w:t>2</w:t>
      </w:r>
      <w:r w:rsidR="00995F66">
        <w:rPr>
          <w:rStyle w:val="y2iqfc"/>
          <w:rFonts w:ascii="Times New Roman" w:hAnsi="Times New Roman" w:cs="Times New Roman"/>
          <w:b/>
          <w:sz w:val="24"/>
          <w:szCs w:val="24"/>
          <w:u w:val="single"/>
          <w:lang w:val="kk-KZ"/>
        </w:rPr>
        <w:t>4</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900CC3">
        <w:rPr>
          <w:rFonts w:ascii="Times New Roman" w:hAnsi="Times New Roman" w:cs="Times New Roman"/>
          <w:sz w:val="20"/>
          <w:szCs w:val="20"/>
          <w:lang w:val="kk-KZ"/>
        </w:rPr>
        <w:t>1</w:t>
      </w:r>
      <w:r w:rsidR="00995F66">
        <w:rPr>
          <w:rFonts w:ascii="Times New Roman" w:hAnsi="Times New Roman" w:cs="Times New Roman"/>
          <w:sz w:val="20"/>
          <w:szCs w:val="20"/>
          <w:lang w:val="kk-KZ"/>
        </w:rPr>
        <w:t>5 тамыз</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900CC3" w:rsidRPr="00900CC3">
        <w:rPr>
          <w:rStyle w:val="y2iqfc"/>
          <w:rFonts w:ascii="Times New Roman" w:hAnsi="Times New Roman" w:cs="Times New Roman"/>
          <w:lang w:val="kk-KZ"/>
        </w:rPr>
        <w:t>1</w:t>
      </w:r>
      <w:r w:rsidR="00995F66">
        <w:rPr>
          <w:rStyle w:val="y2iqfc"/>
          <w:rFonts w:ascii="Times New Roman" w:hAnsi="Times New Roman" w:cs="Times New Roman"/>
          <w:lang w:val="kk-KZ"/>
        </w:rPr>
        <w:t>5 тамыз</w:t>
      </w:r>
      <w:r w:rsidR="00EC43BC">
        <w:rPr>
          <w:rStyle w:val="y2iqfc"/>
          <w:rFonts w:ascii="Times New Roman" w:hAnsi="Times New Roman" w:cs="Times New Roman"/>
          <w:lang w:val="kk-KZ"/>
        </w:rPr>
        <w:t>д</w:t>
      </w:r>
      <w:r w:rsidR="00995F66">
        <w:rPr>
          <w:rStyle w:val="y2iqfc"/>
          <w:rFonts w:ascii="Times New Roman" w:hAnsi="Times New Roman" w:cs="Times New Roman"/>
          <w:lang w:val="kk-KZ"/>
        </w:rPr>
        <w:t>а</w:t>
      </w:r>
      <w:r w:rsidR="00EC43BC">
        <w:rPr>
          <w:rStyle w:val="y2iqfc"/>
          <w:rFonts w:ascii="Times New Roman" w:hAnsi="Times New Roman" w:cs="Times New Roman"/>
          <w:lang w:val="kk-KZ"/>
        </w:rPr>
        <w:t>н</w:t>
      </w:r>
      <w:r w:rsidR="008D308C">
        <w:rPr>
          <w:rStyle w:val="y2iqfc"/>
          <w:rFonts w:ascii="Times New Roman" w:hAnsi="Times New Roman" w:cs="Times New Roman"/>
          <w:lang w:val="kk-KZ"/>
        </w:rPr>
        <w:t xml:space="preserve"> </w:t>
      </w:r>
      <w:r w:rsidR="002D7D25">
        <w:rPr>
          <w:rStyle w:val="y2iqfc"/>
          <w:rFonts w:ascii="Times New Roman" w:hAnsi="Times New Roman" w:cs="Times New Roman"/>
          <w:lang w:val="kk-KZ"/>
        </w:rPr>
        <w:t xml:space="preserve"> </w:t>
      </w:r>
      <w:r w:rsidR="00995F66">
        <w:rPr>
          <w:rStyle w:val="y2iqfc"/>
          <w:rFonts w:ascii="Times New Roman" w:hAnsi="Times New Roman" w:cs="Times New Roman"/>
          <w:lang w:val="kk-KZ"/>
        </w:rPr>
        <w:t>21</w:t>
      </w:r>
      <w:r w:rsidR="00900CC3" w:rsidRPr="00900CC3">
        <w:rPr>
          <w:rStyle w:val="y2iqfc"/>
          <w:rFonts w:ascii="Times New Roman" w:hAnsi="Times New Roman" w:cs="Times New Roman"/>
          <w:lang w:val="kk-KZ"/>
        </w:rPr>
        <w:t xml:space="preserve"> </w:t>
      </w:r>
      <w:r w:rsidR="00900CC3">
        <w:rPr>
          <w:rStyle w:val="y2iqfc"/>
          <w:rFonts w:ascii="Times New Roman" w:hAnsi="Times New Roman" w:cs="Times New Roman"/>
          <w:lang w:val="kk-KZ"/>
        </w:rPr>
        <w:t>тамызға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995F66">
        <w:rPr>
          <w:rStyle w:val="y2iqfc"/>
          <w:rFonts w:ascii="Times New Roman" w:hAnsi="Times New Roman" w:cs="Times New Roman"/>
          <w:lang w:val="kk-KZ"/>
        </w:rPr>
        <w:t>21</w:t>
      </w:r>
      <w:r w:rsidR="00900CC3">
        <w:rPr>
          <w:rStyle w:val="y2iqfc"/>
          <w:rFonts w:ascii="Times New Roman" w:hAnsi="Times New Roman" w:cs="Times New Roman"/>
          <w:lang w:val="kk-KZ"/>
        </w:rPr>
        <w:t xml:space="preserve"> тамыз</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995F66">
        <w:rPr>
          <w:rFonts w:ascii="Times New Roman" w:hAnsi="Times New Roman" w:cs="Times New Roman"/>
          <w:color w:val="212121"/>
          <w:shd w:val="clear" w:color="auto" w:fill="FFFFFF"/>
          <w:lang w:val="kk-KZ"/>
        </w:rPr>
        <w:t>21</w:t>
      </w:r>
      <w:bookmarkStart w:id="0" w:name="_GoBack"/>
      <w:bookmarkEnd w:id="0"/>
      <w:r w:rsidR="00EC43BC">
        <w:rPr>
          <w:rFonts w:ascii="Times New Roman" w:hAnsi="Times New Roman" w:cs="Times New Roman"/>
          <w:color w:val="212121"/>
          <w:shd w:val="clear" w:color="auto" w:fill="FFFFFF"/>
          <w:lang w:val="kk-KZ"/>
        </w:rPr>
        <w:t xml:space="preserve"> </w:t>
      </w:r>
      <w:r w:rsidR="00900CC3">
        <w:rPr>
          <w:rFonts w:ascii="Times New Roman" w:hAnsi="Times New Roman" w:cs="Times New Roman"/>
          <w:color w:val="212121"/>
          <w:shd w:val="clear" w:color="auto" w:fill="FFFFFF"/>
          <w:lang w:val="kk-KZ"/>
        </w:rPr>
        <w:t>тамыз</w:t>
      </w:r>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0D5DF3"/>
    <w:rsid w:val="001111CE"/>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91AF5"/>
    <w:rsid w:val="008A0B65"/>
    <w:rsid w:val="008A1E30"/>
    <w:rsid w:val="008A3ACE"/>
    <w:rsid w:val="008B02D6"/>
    <w:rsid w:val="008B70C4"/>
    <w:rsid w:val="008B78B2"/>
    <w:rsid w:val="008C1A9D"/>
    <w:rsid w:val="008C28E2"/>
    <w:rsid w:val="008D308C"/>
    <w:rsid w:val="008F0425"/>
    <w:rsid w:val="00900CC3"/>
    <w:rsid w:val="00902F74"/>
    <w:rsid w:val="0091422A"/>
    <w:rsid w:val="00915903"/>
    <w:rsid w:val="009212CD"/>
    <w:rsid w:val="00923A18"/>
    <w:rsid w:val="0092626A"/>
    <w:rsid w:val="00936979"/>
    <w:rsid w:val="00957D6B"/>
    <w:rsid w:val="00965D4C"/>
    <w:rsid w:val="00971161"/>
    <w:rsid w:val="0097762D"/>
    <w:rsid w:val="009877F4"/>
    <w:rsid w:val="00995F30"/>
    <w:rsid w:val="00995F66"/>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C43BC"/>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49482"/>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869</TotalTime>
  <Pages>1</Pages>
  <Words>499</Words>
  <Characters>2849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314</cp:revision>
  <cp:lastPrinted>2024-08-15T04:23:00Z</cp:lastPrinted>
  <dcterms:created xsi:type="dcterms:W3CDTF">2016-03-11T02:55:00Z</dcterms:created>
  <dcterms:modified xsi:type="dcterms:W3CDTF">2024-08-15T04:23:00Z</dcterms:modified>
</cp:coreProperties>
</file>